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20</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R2-22</w:t>
      </w:r>
      <w:r>
        <w:rPr>
          <w:rFonts w:hint="eastAsia" w:ascii="Arial" w:hAnsi="Arial" w:cs="Arial"/>
          <w:b/>
          <w:sz w:val="24"/>
          <w:szCs w:val="24"/>
          <w:lang w:val="en-US" w:eastAsia="zh-CN"/>
        </w:rPr>
        <w:t>12282</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 xml:space="preserve">Toulouse, France, </w:t>
      </w:r>
      <w:r>
        <w:rPr>
          <w:rFonts w:ascii="Arial" w:hAnsi="Arial" w:cs="Arial"/>
          <w:b/>
          <w:bCs/>
          <w:kern w:val="0"/>
          <w:sz w:val="24"/>
        </w:rPr>
        <w:t>1</w:t>
      </w:r>
      <w:r>
        <w:rPr>
          <w:rFonts w:hint="eastAsia" w:ascii="Arial" w:hAnsi="Arial" w:cs="Arial"/>
          <w:b/>
          <w:bCs/>
          <w:kern w:val="0"/>
          <w:sz w:val="24"/>
        </w:rPr>
        <w:t>4</w:t>
      </w:r>
      <w:r>
        <w:rPr>
          <w:rFonts w:ascii="Arial" w:hAnsi="Arial" w:cs="Arial"/>
          <w:b/>
          <w:bCs/>
          <w:kern w:val="0"/>
          <w:sz w:val="24"/>
          <w:vertAlign w:val="superscript"/>
        </w:rPr>
        <w:t>th</w:t>
      </w:r>
      <w:r>
        <w:rPr>
          <w:rFonts w:ascii="Arial" w:hAnsi="Arial" w:cs="Arial"/>
          <w:b/>
          <w:bCs/>
          <w:kern w:val="0"/>
          <w:sz w:val="24"/>
        </w:rPr>
        <w:t xml:space="preserve"> – 1</w:t>
      </w:r>
      <w:r>
        <w:rPr>
          <w:rFonts w:hint="eastAsia" w:ascii="Arial" w:hAnsi="Arial" w:cs="Arial"/>
          <w:b/>
          <w:bCs/>
          <w:kern w:val="0"/>
          <w:sz w:val="24"/>
        </w:rPr>
        <w:t>8</w:t>
      </w:r>
      <w:r>
        <w:rPr>
          <w:rFonts w:ascii="Arial" w:hAnsi="Arial" w:cs="Arial"/>
          <w:b/>
          <w:bCs/>
          <w:kern w:val="0"/>
          <w:sz w:val="24"/>
          <w:vertAlign w:val="superscript"/>
        </w:rPr>
        <w:t>th</w:t>
      </w:r>
      <w:r>
        <w:rPr>
          <w:rFonts w:ascii="Arial" w:hAnsi="Arial" w:cs="Arial"/>
          <w:b/>
          <w:bCs/>
          <w:kern w:val="0"/>
          <w:sz w:val="24"/>
        </w:rPr>
        <w:t xml:space="preserve"> </w:t>
      </w:r>
      <w:r>
        <w:rPr>
          <w:rFonts w:hint="eastAsia" w:ascii="Arial" w:hAnsi="Arial" w:cs="Arial"/>
          <w:b/>
          <w:bCs/>
          <w:kern w:val="0"/>
          <w:sz w:val="24"/>
        </w:rPr>
        <w:t>November</w:t>
      </w:r>
      <w:r>
        <w:rPr>
          <w:rFonts w:ascii="Arial" w:hAnsi="Arial" w:cs="Arial"/>
          <w:b/>
          <w:bCs/>
          <w:kern w:val="0"/>
          <w:sz w:val="24"/>
        </w:rPr>
        <w:t xml:space="preserve"> 2022</w:t>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ascii="Arial" w:hAnsi="Arial" w:cs="Arial"/>
          <w:b/>
          <w:bCs/>
          <w:i/>
          <w:kern w:val="0"/>
          <w:sz w:val="20"/>
          <w:szCs w:val="20"/>
          <w:lang w:val="en-GB"/>
        </w:rPr>
        <w:t>R</w:t>
      </w:r>
      <w:r>
        <w:rPr>
          <w:rFonts w:hint="eastAsia" w:ascii="Arial" w:hAnsi="Arial" w:cs="Arial"/>
          <w:b/>
          <w:bCs/>
          <w:i/>
          <w:kern w:val="0"/>
          <w:sz w:val="20"/>
          <w:szCs w:val="20"/>
          <w:lang w:val="en-GB"/>
        </w:rPr>
        <w:t>e</w:t>
      </w:r>
      <w:r>
        <w:rPr>
          <w:rFonts w:ascii="Arial" w:hAnsi="Arial" w:cs="Arial"/>
          <w:b/>
          <w:bCs/>
          <w:i/>
          <w:kern w:val="0"/>
          <w:sz w:val="20"/>
          <w:szCs w:val="20"/>
          <w:lang w:val="en-GB"/>
        </w:rPr>
        <w:t xml:space="preserve">vision of </w:t>
      </w:r>
      <w:r>
        <w:rPr>
          <w:rFonts w:ascii="Arial" w:hAnsi="Arial" w:cs="Arial"/>
          <w:b/>
          <w:bCs/>
          <w:snapToGrid w:val="0"/>
          <w:kern w:val="0"/>
          <w:sz w:val="20"/>
          <w:szCs w:val="20"/>
        </w:rPr>
        <w:t>R2-2210789</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 xml:space="preserve">Discussion on </w:t>
      </w:r>
      <w:r>
        <w:rPr>
          <w:rFonts w:hint="eastAsia" w:ascii="Arial" w:hAnsi="Arial" w:cs="Arial"/>
          <w:b/>
          <w:bCs/>
          <w:snapToGrid w:val="0"/>
          <w:kern w:val="0"/>
          <w:sz w:val="24"/>
        </w:rPr>
        <w:t>HO enhancements in NTN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8.7.4</w:t>
      </w:r>
      <w:r>
        <w:rPr>
          <w:rFonts w:hint="eastAsia" w:ascii="Arial" w:hAnsi="Arial" w:cs="Arial"/>
          <w:b/>
          <w:bCs/>
          <w:snapToGrid w:val="0"/>
          <w:kern w:val="0"/>
          <w:sz w:val="24"/>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jc w:val="left"/>
        <w:rPr>
          <w:rFonts w:ascii="Arial" w:hAnsi="Arial" w:cs="Arial"/>
          <w:sz w:val="20"/>
          <w:szCs w:val="20"/>
        </w:rPr>
      </w:pPr>
      <w:r>
        <w:rPr>
          <w:rFonts w:hint="eastAsia" w:ascii="Arial" w:hAnsi="Arial" w:cs="Arial"/>
          <w:sz w:val="20"/>
          <w:szCs w:val="20"/>
        </w:rPr>
        <w:t>Below agreements are achieved in RAN2#119bis-e meeting:</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4"/>
              </w:numPr>
              <w:spacing w:line="240" w:lineRule="auto"/>
              <w:jc w:val="left"/>
              <w:rPr>
                <w:rFonts w:ascii="Arial" w:hAnsi="Arial" w:cs="Arial"/>
                <w:bCs/>
                <w:kern w:val="0"/>
                <w:sz w:val="20"/>
                <w:szCs w:val="20"/>
                <w:lang w:eastAsia="en-US"/>
              </w:rPr>
            </w:pPr>
            <w:r>
              <w:rPr>
                <w:rFonts w:ascii="Arial" w:hAnsi="Arial" w:cs="Arial"/>
                <w:bCs/>
                <w:kern w:val="0"/>
                <w:sz w:val="20"/>
                <w:szCs w:val="20"/>
                <w:lang w:eastAsia="en-US"/>
              </w:rPr>
              <w:t>RAN2 can further consider whether some information in the handover command that can be common to all UEs, can be delivered to UEs in common signalling and if there is real benefit (in terms of signalling overhead reduction) in this</w:t>
            </w:r>
          </w:p>
          <w:p>
            <w:pPr>
              <w:numPr>
                <w:ilvl w:val="0"/>
                <w:numId w:val="4"/>
              </w:numPr>
              <w:spacing w:line="240" w:lineRule="auto"/>
              <w:jc w:val="left"/>
              <w:rPr>
                <w:rFonts w:ascii="Arial" w:hAnsi="Arial" w:cs="Arial"/>
                <w:bCs/>
                <w:kern w:val="0"/>
                <w:sz w:val="20"/>
                <w:szCs w:val="20"/>
                <w:lang w:eastAsia="en-US"/>
              </w:rPr>
            </w:pPr>
            <w:r>
              <w:rPr>
                <w:rFonts w:ascii="Arial" w:hAnsi="Arial" w:cs="Arial"/>
                <w:bCs/>
                <w:kern w:val="0"/>
                <w:sz w:val="20"/>
                <w:szCs w:val="20"/>
                <w:lang w:eastAsia="en-US"/>
              </w:rPr>
              <w:t>Send an LS to RAN1 (cc RAN4) listing the scenarios (intra-satellite, inter-satellite with same or different feeder links) and check with RAN1 in which scenarios RACH-less is possible (with no indication of RAN2 preference)</w:t>
            </w:r>
          </w:p>
          <w:p>
            <w:pPr>
              <w:numPr>
                <w:ilvl w:val="0"/>
                <w:numId w:val="4"/>
              </w:numPr>
              <w:spacing w:line="240" w:lineRule="auto"/>
              <w:jc w:val="left"/>
              <w:rPr>
                <w:rFonts w:ascii="Arial" w:hAnsi="Arial" w:cs="Arial"/>
                <w:bCs/>
                <w:kern w:val="0"/>
                <w:sz w:val="20"/>
                <w:szCs w:val="20"/>
                <w:lang w:eastAsia="en-US"/>
              </w:rPr>
            </w:pPr>
            <w:r>
              <w:rPr>
                <w:rFonts w:ascii="Arial" w:hAnsi="Arial" w:cs="Arial"/>
                <w:bCs/>
                <w:kern w:val="0"/>
                <w:sz w:val="20"/>
                <w:szCs w:val="20"/>
                <w:lang w:eastAsia="en-US"/>
              </w:rPr>
              <w:t>Continue the discussion (in future meeting) on group HO / “UE specific pre-configuration of the target cell + group HO” indication in the next meeting, also on the possible real benefits</w:t>
            </w:r>
          </w:p>
        </w:tc>
      </w:tr>
    </w:tbl>
    <w:p>
      <w:pPr>
        <w:spacing w:line="240" w:lineRule="auto"/>
        <w:jc w:val="left"/>
        <w:rPr>
          <w:rFonts w:ascii="Arial" w:hAnsi="Arial" w:cs="Arial"/>
          <w:bCs/>
          <w:kern w:val="0"/>
          <w:sz w:val="20"/>
          <w:szCs w:val="20"/>
        </w:rPr>
      </w:pPr>
      <w:r>
        <w:rPr>
          <w:rFonts w:hint="eastAsia" w:ascii="Arial" w:hAnsi="Arial" w:cs="Arial"/>
          <w:bCs/>
          <w:kern w:val="0"/>
          <w:sz w:val="20"/>
          <w:szCs w:val="20"/>
        </w:rPr>
        <w:t>I</w:t>
      </w:r>
      <w:r>
        <w:rPr>
          <w:rFonts w:ascii="Arial" w:hAnsi="Arial" w:cs="Arial"/>
          <w:bCs/>
          <w:kern w:val="0"/>
          <w:sz w:val="20"/>
          <w:szCs w:val="20"/>
        </w:rPr>
        <w:t xml:space="preserve">n this paper, </w:t>
      </w:r>
      <w:r>
        <w:rPr>
          <w:rFonts w:hint="eastAsia" w:ascii="Arial" w:hAnsi="Arial" w:cs="Arial"/>
          <w:bCs/>
          <w:kern w:val="0"/>
          <w:sz w:val="20"/>
          <w:szCs w:val="20"/>
        </w:rPr>
        <w:t>enhancements to reduce signalling overhead during intra-NTN handover are discussed with consideration on progress in RAN2#119bis-e meeting.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pPr>
        <w:pStyle w:val="3"/>
        <w:numPr>
          <w:ilvl w:val="1"/>
          <w:numId w:val="3"/>
        </w:numPr>
        <w:rPr>
          <w:b w:val="0"/>
          <w:bCs w:val="0"/>
        </w:rPr>
      </w:pPr>
      <w:bookmarkStart w:id="3" w:name="OLE_LINK2"/>
      <w:r>
        <w:rPr>
          <w:b w:val="0"/>
          <w:bCs w:val="0"/>
        </w:rPr>
        <w:t>Group based mobility</w:t>
      </w:r>
    </w:p>
    <w:p>
      <w:pPr>
        <w:rPr>
          <w:rFonts w:ascii="Arial" w:hAnsi="Arial" w:cs="Arial"/>
          <w:sz w:val="20"/>
          <w:szCs w:val="20"/>
        </w:rPr>
      </w:pPr>
      <w:r>
        <w:rPr>
          <w:rFonts w:hint="eastAsia" w:ascii="Arial" w:hAnsi="Arial" w:cs="Arial"/>
          <w:sz w:val="20"/>
          <w:szCs w:val="20"/>
        </w:rPr>
        <w:t>In conventional measurement report triggered mobility procedure, the signalling overhead comes in two aspects: measurement report for HO decision and HO configuration, which can both be considered to be further discussed in terms of signalling overhead reduction.</w:t>
      </w:r>
    </w:p>
    <w:p>
      <w:pPr>
        <w:rPr>
          <w:rFonts w:ascii="Arial" w:hAnsi="Arial" w:cs="Arial"/>
          <w:b/>
          <w:bCs/>
          <w:sz w:val="20"/>
          <w:szCs w:val="20"/>
        </w:rPr>
      </w:pPr>
      <w:r>
        <w:rPr>
          <w:rFonts w:hint="eastAsia" w:ascii="Arial" w:hAnsi="Arial" w:cs="Arial"/>
          <w:b/>
          <w:bCs/>
          <w:sz w:val="20"/>
          <w:szCs w:val="20"/>
        </w:rPr>
        <w:t>Observation 1: Signalling overhead reduction can be considered in measurement report, HO configuration</w:t>
      </w:r>
    </w:p>
    <w:p>
      <w:pPr>
        <w:rPr>
          <w:rFonts w:ascii="Arial" w:hAnsi="Arial" w:cs="Arial"/>
          <w:sz w:val="20"/>
          <w:szCs w:val="20"/>
        </w:rPr>
      </w:pPr>
      <w:r>
        <w:rPr>
          <w:rFonts w:hint="eastAsia" w:ascii="Arial" w:hAnsi="Arial" w:cs="Arial"/>
          <w:sz w:val="20"/>
          <w:szCs w:val="20"/>
        </w:rPr>
        <w:t xml:space="preserve">The main difference in intra-NTN mobility is that HO could be triggered due to satellite movement where a larger number UEs will need to be switched to another cell in one time. Due to the long RTT between UE and satellites, for UE within a certain location range, they could share similar radio conditions, which means the measurement report receive from such UEs will also be similar. Therefore it is possible for NW to do the HO decision without waiting all measurements report to be received from all UEs, which can help reduce the signalling overhead required for sending the measurement report. </w:t>
      </w:r>
    </w:p>
    <w:p>
      <w:pPr>
        <w:rPr>
          <w:rFonts w:ascii="Arial" w:hAnsi="Arial" w:cs="Arial"/>
          <w:b/>
          <w:bCs/>
          <w:sz w:val="20"/>
          <w:szCs w:val="20"/>
        </w:rPr>
      </w:pPr>
      <w:r>
        <w:rPr>
          <w:rFonts w:hint="eastAsia" w:ascii="Arial" w:hAnsi="Arial" w:cs="Arial"/>
          <w:b/>
          <w:bCs/>
          <w:sz w:val="20"/>
          <w:szCs w:val="20"/>
        </w:rPr>
        <w:t>Observation 2: Due to long RTT in NTN, UE within certain location range will face similar radio condition, which makes it possible for NW to do group HO decision with any of report received from such UEs, thus help reduce the signalling overhead required for measurement report.</w:t>
      </w:r>
    </w:p>
    <w:p>
      <w:pPr>
        <w:rPr>
          <w:rFonts w:ascii="Arial" w:hAnsi="Arial" w:cs="Arial"/>
          <w:sz w:val="20"/>
          <w:szCs w:val="20"/>
        </w:rPr>
      </w:pPr>
      <w:r>
        <w:rPr>
          <w:rFonts w:hint="eastAsia" w:ascii="Arial" w:hAnsi="Arial" w:cs="Arial"/>
          <w:sz w:val="20"/>
          <w:szCs w:val="20"/>
        </w:rPr>
        <w:t xml:space="preserve">Another aspect to be considered is how to </w:t>
      </w:r>
      <w:r>
        <w:rPr>
          <w:rFonts w:ascii="Arial" w:hAnsi="Arial" w:cs="Arial"/>
          <w:sz w:val="20"/>
          <w:szCs w:val="20"/>
        </w:rPr>
        <w:t>send</w:t>
      </w:r>
      <w:r>
        <w:rPr>
          <w:rFonts w:hint="eastAsia" w:ascii="Arial" w:hAnsi="Arial" w:cs="Arial"/>
          <w:sz w:val="20"/>
          <w:szCs w:val="20"/>
        </w:rPr>
        <w:t xml:space="preserve"> UE the HO configuration, e.g., in a group manner or in dedicated manner. It shall be noted that after HO to another cell UE need to initiate RACH to target cell to establish the connections. And a large of UE initiat</w:t>
      </w:r>
      <w:r>
        <w:rPr>
          <w:rFonts w:ascii="Arial" w:hAnsi="Arial" w:cs="Arial"/>
          <w:sz w:val="20"/>
          <w:szCs w:val="20"/>
        </w:rPr>
        <w:t>ing</w:t>
      </w:r>
      <w:r>
        <w:rPr>
          <w:rFonts w:hint="eastAsia" w:ascii="Arial" w:hAnsi="Arial" w:cs="Arial"/>
          <w:sz w:val="20"/>
          <w:szCs w:val="20"/>
        </w:rPr>
        <w:t xml:space="preserve"> RACH in the same time might lead to serious collision issues. </w:t>
      </w:r>
    </w:p>
    <w:p>
      <w:pPr>
        <w:rPr>
          <w:rFonts w:ascii="Arial" w:hAnsi="Arial" w:cs="Arial"/>
          <w:b/>
          <w:bCs/>
          <w:sz w:val="20"/>
          <w:szCs w:val="20"/>
        </w:rPr>
      </w:pPr>
      <w:r>
        <w:rPr>
          <w:rFonts w:hint="eastAsia" w:ascii="Arial" w:hAnsi="Arial" w:cs="Arial"/>
          <w:b/>
          <w:bCs/>
          <w:sz w:val="20"/>
          <w:szCs w:val="20"/>
        </w:rPr>
        <w:t>Observation 3: Group HO UE to another cell could lead to collision in RACH procedure since there might be larger number of UE initiating RACH in the same time.</w:t>
      </w:r>
    </w:p>
    <w:p>
      <w:pPr>
        <w:rPr>
          <w:rFonts w:ascii="Arial" w:hAnsi="Arial" w:cs="Arial"/>
          <w:sz w:val="20"/>
          <w:szCs w:val="20"/>
        </w:rPr>
      </w:pPr>
      <w:r>
        <w:rPr>
          <w:rFonts w:hint="eastAsia" w:ascii="Arial" w:hAnsi="Arial" w:cs="Arial"/>
          <w:sz w:val="20"/>
          <w:szCs w:val="20"/>
        </w:rPr>
        <w:t>To avoid above issues below options can be considered:</w:t>
      </w:r>
    </w:p>
    <w:p>
      <w:pPr>
        <w:numPr>
          <w:ilvl w:val="0"/>
          <w:numId w:val="5"/>
        </w:numPr>
        <w:rPr>
          <w:rFonts w:ascii="Arial" w:hAnsi="Arial" w:cs="Arial"/>
          <w:sz w:val="20"/>
          <w:szCs w:val="20"/>
        </w:rPr>
      </w:pPr>
      <w:r>
        <w:rPr>
          <w:rFonts w:hint="eastAsia" w:ascii="Arial" w:hAnsi="Arial" w:cs="Arial"/>
          <w:sz w:val="20"/>
          <w:szCs w:val="20"/>
        </w:rPr>
        <w:t>RACH-less HO</w:t>
      </w:r>
    </w:p>
    <w:p>
      <w:pPr>
        <w:numPr>
          <w:ilvl w:val="0"/>
          <w:numId w:val="5"/>
        </w:numPr>
        <w:rPr>
          <w:rFonts w:ascii="Arial" w:hAnsi="Arial" w:cs="Arial"/>
          <w:sz w:val="20"/>
          <w:szCs w:val="20"/>
        </w:rPr>
      </w:pPr>
      <w:r>
        <w:rPr>
          <w:rFonts w:hint="eastAsia" w:ascii="Arial" w:hAnsi="Arial" w:cs="Arial"/>
          <w:sz w:val="20"/>
          <w:szCs w:val="20"/>
        </w:rPr>
        <w:t>Dedicated RACH resource for group HO</w:t>
      </w:r>
    </w:p>
    <w:p>
      <w:pPr>
        <w:rPr>
          <w:rFonts w:ascii="Arial" w:hAnsi="Arial" w:cs="Arial"/>
          <w:sz w:val="20"/>
          <w:szCs w:val="20"/>
        </w:rPr>
      </w:pPr>
      <w:r>
        <w:rPr>
          <w:rFonts w:hint="eastAsia" w:ascii="Arial" w:hAnsi="Arial" w:cs="Arial"/>
          <w:sz w:val="20"/>
          <w:szCs w:val="20"/>
        </w:rPr>
        <w:t>RACH-less HO is discussed in last meeting but not agreed, and one LS has been sent to RAN1 asking them to study the feasibility and applicability of RACH-less HO in different satellite deployment. Since the conditions of RACH-less HO might not always be satisfied, the safer way to mitigate the RACH collision issue is to use CFRA resource.</w:t>
      </w:r>
    </w:p>
    <w:p>
      <w:pPr>
        <w:rPr>
          <w:rFonts w:ascii="Arial" w:hAnsi="Arial" w:cs="Arial"/>
          <w:b/>
          <w:bCs/>
          <w:sz w:val="20"/>
          <w:szCs w:val="20"/>
        </w:rPr>
      </w:pPr>
      <w:r>
        <w:rPr>
          <w:rFonts w:hint="eastAsia" w:ascii="Arial" w:hAnsi="Arial" w:cs="Arial"/>
          <w:b/>
          <w:bCs/>
          <w:sz w:val="20"/>
          <w:szCs w:val="20"/>
        </w:rPr>
        <w:t xml:space="preserve">Observation 4: CFRA resource is needed to reduce RACH collision issue in group HO. </w:t>
      </w:r>
    </w:p>
    <w:p>
      <w:pPr>
        <w:rPr>
          <w:rFonts w:ascii="Arial" w:hAnsi="Arial" w:cs="Arial"/>
          <w:sz w:val="20"/>
          <w:szCs w:val="20"/>
        </w:rPr>
      </w:pPr>
      <w:r>
        <w:rPr>
          <w:rFonts w:hint="eastAsia" w:ascii="Arial" w:hAnsi="Arial" w:cs="Arial"/>
          <w:sz w:val="20"/>
          <w:szCs w:val="20"/>
        </w:rPr>
        <w:t>Since CFRA resource is needed</w:t>
      </w:r>
      <w:r>
        <w:rPr>
          <w:rFonts w:ascii="Arial" w:hAnsi="Arial" w:cs="Arial"/>
          <w:sz w:val="20"/>
          <w:szCs w:val="20"/>
        </w:rPr>
        <w:t>,</w:t>
      </w:r>
      <w:r>
        <w:rPr>
          <w:rFonts w:hint="eastAsia" w:ascii="Arial" w:hAnsi="Arial" w:cs="Arial"/>
          <w:sz w:val="20"/>
          <w:szCs w:val="20"/>
        </w:rPr>
        <w:t xml:space="preserve"> dedicated signalling for HO configuration is more appropriate which can also </w:t>
      </w:r>
      <w:r>
        <w:rPr>
          <w:rFonts w:ascii="Arial" w:hAnsi="Arial" w:cs="Arial"/>
          <w:sz w:val="20"/>
          <w:szCs w:val="20"/>
        </w:rPr>
        <w:t>reuse</w:t>
      </w:r>
      <w:r>
        <w:rPr>
          <w:rFonts w:hint="eastAsia" w:ascii="Arial" w:hAnsi="Arial" w:cs="Arial"/>
          <w:sz w:val="20"/>
          <w:szCs w:val="20"/>
        </w:rPr>
        <w:t xml:space="preserve"> existing HO configuration procedure. It also gives more scheduling flexibility at NW to use dedicate HO configuration, e.g., NW might only want to move some of UEs within the same group considering also load balance in different cells or due to change of trajectories of UEs.</w:t>
      </w:r>
    </w:p>
    <w:p>
      <w:pPr>
        <w:rPr>
          <w:rFonts w:ascii="Arial" w:hAnsi="Arial" w:cs="Arial"/>
          <w:b/>
          <w:bCs/>
          <w:sz w:val="20"/>
          <w:szCs w:val="20"/>
        </w:rPr>
      </w:pPr>
      <w:r>
        <w:rPr>
          <w:rFonts w:hint="eastAsia" w:ascii="Arial" w:hAnsi="Arial" w:cs="Arial"/>
          <w:b/>
          <w:bCs/>
          <w:sz w:val="20"/>
          <w:szCs w:val="20"/>
        </w:rPr>
        <w:t>Observation 5: Dedicate HO configuration allows more flexibility of scheduling since NW might only want to move some of some of UEs within the same group considering also load balance in different cells or due to change of trajectories of UEs.</w:t>
      </w:r>
    </w:p>
    <w:p>
      <w:pPr>
        <w:widowControl/>
        <w:jc w:val="left"/>
        <w:rPr>
          <w:rFonts w:ascii="Arial" w:hAnsi="Arial" w:cs="Arial"/>
          <w:bCs/>
          <w:kern w:val="0"/>
          <w:sz w:val="20"/>
          <w:szCs w:val="20"/>
        </w:rPr>
      </w:pPr>
      <w:r>
        <w:rPr>
          <w:rFonts w:hint="eastAsia" w:ascii="Arial" w:hAnsi="Arial" w:cs="Arial"/>
          <w:bCs/>
          <w:kern w:val="0"/>
          <w:sz w:val="20"/>
          <w:szCs w:val="20"/>
        </w:rPr>
        <w:t xml:space="preserve">Based on above analysis, one example on how the group HO can be implemented is described as below. </w:t>
      </w:r>
    </w:p>
    <w:p>
      <w:pPr>
        <w:widowControl/>
        <w:jc w:val="center"/>
      </w:pPr>
      <w:r>
        <w:rPr>
          <w:rFonts w:hint="eastAsia"/>
        </w:rPr>
        <w:object>
          <v:shape id="_x0000_i1025" o:spt="75" type="#_x0000_t75" style="height:269.15pt;width:414.65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widowControl/>
        <w:jc w:val="center"/>
      </w:pPr>
      <w:r>
        <w:object>
          <v:shape id="_x0000_i1026" o:spt="75" type="#_x0000_t75" style="height:164.4pt;width:386.2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widowControl/>
        <w:jc w:val="center"/>
        <w:rPr>
          <w:rFonts w:ascii="Arial" w:hAnsi="Arial" w:cs="Arial"/>
          <w:sz w:val="20"/>
          <w:szCs w:val="20"/>
        </w:rPr>
      </w:pPr>
      <w:r>
        <w:rPr>
          <w:rFonts w:ascii="Arial" w:hAnsi="Arial" w:cs="Arial"/>
          <w:sz w:val="20"/>
          <w:szCs w:val="20"/>
        </w:rPr>
        <w:t xml:space="preserve">Figure </w:t>
      </w:r>
      <w:r>
        <w:rPr>
          <w:rFonts w:hint="eastAsia" w:ascii="Arial" w:hAnsi="Arial" w:cs="Arial"/>
          <w:sz w:val="20"/>
          <w:szCs w:val="20"/>
        </w:rPr>
        <w:t>1</w:t>
      </w:r>
      <w:r>
        <w:rPr>
          <w:rFonts w:ascii="Arial" w:hAnsi="Arial" w:cs="Arial"/>
          <w:sz w:val="20"/>
          <w:szCs w:val="20"/>
        </w:rPr>
        <w:t>. An example of group based mobility</w:t>
      </w:r>
    </w:p>
    <w:p>
      <w:pPr>
        <w:widowControl/>
        <w:jc w:val="left"/>
        <w:rPr>
          <w:rFonts w:ascii="Arial" w:hAnsi="Arial" w:cs="Arial"/>
          <w:sz w:val="20"/>
          <w:szCs w:val="20"/>
        </w:rPr>
      </w:pPr>
      <w:r>
        <w:rPr>
          <w:rFonts w:ascii="Arial" w:hAnsi="Arial" w:cs="Arial"/>
          <w:sz w:val="20"/>
          <w:szCs w:val="20"/>
        </w:rPr>
        <w:t xml:space="preserve">As shown in the above figure </w:t>
      </w:r>
      <w:r>
        <w:rPr>
          <w:rFonts w:hint="eastAsia" w:ascii="Arial" w:hAnsi="Arial" w:cs="Arial"/>
          <w:sz w:val="20"/>
          <w:szCs w:val="20"/>
        </w:rPr>
        <w:t>1</w:t>
      </w:r>
      <w:r>
        <w:rPr>
          <w:rFonts w:ascii="Arial" w:hAnsi="Arial" w:cs="Arial"/>
          <w:sz w:val="20"/>
          <w:szCs w:val="20"/>
        </w:rPr>
        <w:t xml:space="preserve">, UEs are divided into several groups, e.g. based on its location </w:t>
      </w:r>
      <w:r>
        <w:rPr>
          <w:rFonts w:hint="eastAsia" w:ascii="Arial" w:hAnsi="Arial" w:cs="Arial"/>
          <w:sz w:val="20"/>
          <w:szCs w:val="20"/>
        </w:rPr>
        <w:t>o</w:t>
      </w:r>
      <w:r>
        <w:rPr>
          <w:rFonts w:ascii="Arial" w:hAnsi="Arial" w:cs="Arial"/>
          <w:sz w:val="20"/>
          <w:szCs w:val="20"/>
        </w:rPr>
        <w:t>r</w:t>
      </w:r>
      <w:r>
        <w:rPr>
          <w:rFonts w:hint="eastAsia" w:ascii="Arial" w:hAnsi="Arial" w:cs="Arial"/>
          <w:sz w:val="20"/>
          <w:szCs w:val="20"/>
        </w:rPr>
        <w:t xml:space="preserve"> </w:t>
      </w:r>
      <w:r>
        <w:rPr>
          <w:rFonts w:ascii="Arial" w:hAnsi="Arial" w:cs="Arial"/>
          <w:sz w:val="20"/>
          <w:szCs w:val="20"/>
        </w:rPr>
        <w:t>some other criteria, and each UE will be assigned with a group id. The group id will be reported together with measurement results in measurement report. Upon reception of measurement report from one or a few of the UEs in this group, network would then decide to handover all the UEs in this group or some of them.</w:t>
      </w:r>
    </w:p>
    <w:p>
      <w:pPr>
        <w:widowControl/>
        <w:jc w:val="left"/>
        <w:rPr>
          <w:rFonts w:ascii="Arial" w:hAnsi="Arial" w:cs="Arial"/>
          <w:b/>
          <w:sz w:val="20"/>
          <w:szCs w:val="20"/>
        </w:rPr>
      </w:pPr>
      <w:r>
        <w:rPr>
          <w:rFonts w:ascii="Arial" w:hAnsi="Arial" w:cs="Arial"/>
          <w:b/>
          <w:sz w:val="20"/>
          <w:szCs w:val="20"/>
        </w:rPr>
        <w:t xml:space="preserve">Proposal </w:t>
      </w:r>
      <w:r>
        <w:rPr>
          <w:rFonts w:hint="eastAsia" w:ascii="Arial" w:hAnsi="Arial" w:cs="Arial"/>
          <w:b/>
          <w:sz w:val="20"/>
          <w:szCs w:val="20"/>
        </w:rPr>
        <w:t>1</w:t>
      </w:r>
      <w:r>
        <w:rPr>
          <w:rFonts w:ascii="Arial" w:hAnsi="Arial" w:cs="Arial"/>
          <w:b/>
          <w:sz w:val="20"/>
          <w:szCs w:val="20"/>
        </w:rPr>
        <w:t>: Group based handover should be supported with the following:</w:t>
      </w:r>
    </w:p>
    <w:p>
      <w:pPr>
        <w:pStyle w:val="68"/>
        <w:widowControl/>
        <w:numPr>
          <w:ilvl w:val="0"/>
          <w:numId w:val="6"/>
        </w:numPr>
        <w:ind w:firstLineChars="0"/>
        <w:jc w:val="left"/>
        <w:rPr>
          <w:rFonts w:ascii="Arial" w:hAnsi="Arial" w:cs="Arial"/>
          <w:b/>
          <w:sz w:val="20"/>
          <w:szCs w:val="20"/>
        </w:rPr>
      </w:pPr>
      <w:r>
        <w:rPr>
          <w:rFonts w:hint="eastAsia" w:ascii="Arial" w:hAnsi="Arial" w:cs="Arial"/>
          <w:b/>
          <w:sz w:val="20"/>
          <w:szCs w:val="20"/>
        </w:rPr>
        <w:t>D</w:t>
      </w:r>
      <w:r>
        <w:rPr>
          <w:rFonts w:ascii="Arial" w:hAnsi="Arial" w:cs="Arial"/>
          <w:b/>
          <w:sz w:val="20"/>
          <w:szCs w:val="20"/>
        </w:rPr>
        <w:t>ivide UE into several groups and assign each UE with a group id.</w:t>
      </w:r>
    </w:p>
    <w:p>
      <w:pPr>
        <w:pStyle w:val="68"/>
        <w:widowControl/>
        <w:numPr>
          <w:ilvl w:val="0"/>
          <w:numId w:val="6"/>
        </w:numPr>
        <w:ind w:firstLineChars="0"/>
        <w:jc w:val="left"/>
        <w:rPr>
          <w:rFonts w:ascii="Arial" w:hAnsi="Arial" w:cs="Arial"/>
          <w:b/>
          <w:sz w:val="20"/>
          <w:szCs w:val="20"/>
        </w:rPr>
      </w:pPr>
      <w:r>
        <w:rPr>
          <w:rFonts w:hint="eastAsia" w:ascii="Arial" w:hAnsi="Arial" w:cs="Arial"/>
          <w:b/>
          <w:sz w:val="20"/>
          <w:szCs w:val="20"/>
        </w:rPr>
        <w:t>U</w:t>
      </w:r>
      <w:r>
        <w:rPr>
          <w:rFonts w:ascii="Arial" w:hAnsi="Arial" w:cs="Arial"/>
          <w:b/>
          <w:sz w:val="20"/>
          <w:szCs w:val="20"/>
        </w:rPr>
        <w:t>E report the group id together with the measurement results in measurement report.</w:t>
      </w:r>
    </w:p>
    <w:p>
      <w:pPr>
        <w:pStyle w:val="68"/>
        <w:widowControl/>
        <w:numPr>
          <w:ilvl w:val="0"/>
          <w:numId w:val="6"/>
        </w:numPr>
        <w:ind w:firstLineChars="0"/>
        <w:jc w:val="left"/>
        <w:rPr>
          <w:rFonts w:ascii="Arial" w:hAnsi="Arial" w:cs="Arial"/>
          <w:b/>
          <w:sz w:val="20"/>
          <w:szCs w:val="20"/>
        </w:rPr>
      </w:pPr>
      <w:r>
        <w:rPr>
          <w:rFonts w:ascii="Arial" w:hAnsi="Arial" w:cs="Arial"/>
          <w:b/>
          <w:sz w:val="20"/>
          <w:szCs w:val="20"/>
        </w:rPr>
        <w:t>Upon reception of measurement report from one or a few of the UEs in this group, network decide to handover all the UEs or some of them in this group and send HO command to each UE.</w:t>
      </w:r>
    </w:p>
    <w:p>
      <w:pPr>
        <w:pStyle w:val="3"/>
        <w:numPr>
          <w:ilvl w:val="1"/>
          <w:numId w:val="3"/>
        </w:numPr>
        <w:rPr>
          <w:b w:val="0"/>
          <w:bCs w:val="0"/>
        </w:rPr>
      </w:pPr>
      <w:r>
        <w:rPr>
          <w:b w:val="0"/>
          <w:bCs w:val="0"/>
        </w:rPr>
        <w:t>Index based handover command</w:t>
      </w:r>
    </w:p>
    <w:p>
      <w:pPr>
        <w:rPr>
          <w:rFonts w:ascii="Arial" w:hAnsi="Arial" w:cs="Arial"/>
          <w:sz w:val="20"/>
          <w:szCs w:val="20"/>
        </w:rPr>
      </w:pPr>
      <w:r>
        <w:rPr>
          <w:rFonts w:hint="eastAsia" w:ascii="Arial" w:hAnsi="Arial"/>
        </w:rPr>
        <w:t>Another mobility enhancement studied for intra-NTN is to allow pre-configuration of HO resource and NW can trigger HO though simple indication without configuring the resource again which can be done with simple enhancement on C</w:t>
      </w:r>
      <w:r>
        <w:rPr>
          <w:rFonts w:ascii="Arial" w:hAnsi="Arial" w:cs="Arial"/>
          <w:sz w:val="20"/>
          <w:szCs w:val="20"/>
        </w:rPr>
        <w:t>HO</w:t>
      </w:r>
      <w:r>
        <w:rPr>
          <w:rFonts w:hint="eastAsia" w:ascii="Arial" w:hAnsi="Arial" w:cs="Arial"/>
          <w:sz w:val="20"/>
          <w:szCs w:val="20"/>
        </w:rPr>
        <w:t xml:space="preserve"> configuration that</w:t>
      </w:r>
      <w:r>
        <w:rPr>
          <w:rFonts w:ascii="Arial" w:hAnsi="Arial" w:cs="Arial"/>
          <w:sz w:val="20"/>
          <w:szCs w:val="20"/>
        </w:rPr>
        <w:t xml:space="preserve"> has been </w:t>
      </w:r>
      <w:r>
        <w:rPr>
          <w:rFonts w:hint="eastAsia" w:ascii="Arial" w:hAnsi="Arial" w:cs="Arial"/>
          <w:sz w:val="20"/>
          <w:szCs w:val="20"/>
        </w:rPr>
        <w:t>already supported in NTN. In NTN it is possible for NW to handover UE to CHO candidate cells before CHO is triggered, e.g., due to load balancing purpose. In this case, if NW can trigger HO in CHO candidates with simple indication (e.g., PCI or candidate cell index) in handover command with other parameters (</w:t>
      </w:r>
      <w:r>
        <w:rPr>
          <w:rFonts w:ascii="Arial" w:hAnsi="Arial" w:cs="Arial"/>
          <w:sz w:val="20"/>
          <w:szCs w:val="20"/>
        </w:rPr>
        <w:t xml:space="preserve"> e.g. the cell specific parameters and the UE specific parameters</w:t>
      </w:r>
      <w:r>
        <w:rPr>
          <w:rFonts w:hint="eastAsia" w:ascii="Arial" w:hAnsi="Arial" w:cs="Arial"/>
          <w:sz w:val="20"/>
          <w:szCs w:val="20"/>
        </w:rPr>
        <w:t xml:space="preserve">) can be easily omitted, therefore reduce </w:t>
      </w:r>
      <w:r>
        <w:rPr>
          <w:rFonts w:ascii="Arial" w:hAnsi="Arial" w:cs="Arial"/>
          <w:sz w:val="20"/>
          <w:szCs w:val="20"/>
        </w:rPr>
        <w:t xml:space="preserve">the signaling overhead significantly. </w:t>
      </w:r>
    </w:p>
    <w:p>
      <w:pPr>
        <w:rPr>
          <w:rFonts w:ascii="Arial" w:hAnsi="Arial" w:cs="Arial"/>
          <w:b/>
          <w:bCs/>
          <w:sz w:val="20"/>
          <w:szCs w:val="20"/>
        </w:rPr>
      </w:pPr>
      <w:r>
        <w:rPr>
          <w:rFonts w:hint="eastAsia" w:ascii="Arial" w:hAnsi="Arial" w:cs="Arial"/>
          <w:b/>
          <w:bCs/>
          <w:sz w:val="20"/>
          <w:szCs w:val="20"/>
        </w:rPr>
        <w:t>Observation 6: NW might handover UE to CHO candidate cells before CHO is triggered due to other purpose, e.g., load balancing.</w:t>
      </w:r>
    </w:p>
    <w:p>
      <w:pPr>
        <w:rPr>
          <w:rFonts w:ascii="Arial" w:hAnsi="Arial" w:cs="Arial"/>
          <w:sz w:val="20"/>
          <w:szCs w:val="20"/>
        </w:rPr>
      </w:pPr>
      <w:r>
        <w:rPr>
          <w:rFonts w:hint="eastAsia" w:ascii="Arial" w:hAnsi="Arial" w:cs="Arial"/>
          <w:b/>
          <w:bCs/>
          <w:sz w:val="20"/>
          <w:szCs w:val="20"/>
        </w:rPr>
        <w:t>Observation 7: When handover UE to one of CHO candidate target cells, the CHO configuration stored in UE can be easily reused therefore only information used to identify CHO candidate cell (e.g., PCI or candidate cell index) is needed, which can help reduce signalling overhead of HO command significantly.</w:t>
      </w:r>
    </w:p>
    <w:p>
      <w:pPr>
        <w:rPr>
          <w:rFonts w:ascii="Arial" w:hAnsi="Arial" w:cs="Arial"/>
          <w:sz w:val="20"/>
          <w:szCs w:val="20"/>
        </w:rPr>
      </w:pPr>
      <w:r>
        <w:rPr>
          <w:rFonts w:ascii="Arial" w:hAnsi="Arial" w:cs="Arial"/>
          <w:sz w:val="20"/>
          <w:szCs w:val="20"/>
        </w:rPr>
        <w:t xml:space="preserve">With the reduction of the payload size, the reception failure of the handover command can be reduced, which would in return reduce the RLF rate and handover failure rate. </w:t>
      </w:r>
    </w:p>
    <w:p>
      <w:pPr>
        <w:rPr>
          <w:rFonts w:ascii="Arial" w:hAnsi="Arial" w:cs="Arial"/>
          <w:b/>
          <w:bCs/>
          <w:sz w:val="20"/>
          <w:szCs w:val="20"/>
        </w:rPr>
      </w:pPr>
      <w:r>
        <w:rPr>
          <w:rFonts w:hint="eastAsia" w:ascii="Arial" w:hAnsi="Arial" w:cs="Arial"/>
          <w:b/>
          <w:bCs/>
          <w:sz w:val="20"/>
          <w:szCs w:val="20"/>
        </w:rPr>
        <w:t>Observation 8: Reduced HO command size also helps improv</w:t>
      </w:r>
      <w:r>
        <w:rPr>
          <w:rFonts w:hint="eastAsia" w:ascii="Arial" w:hAnsi="Arial" w:cs="Arial"/>
          <w:b/>
          <w:bCs/>
          <w:sz w:val="20"/>
          <w:szCs w:val="20"/>
          <w:lang w:val="en-US" w:eastAsia="zh-CN"/>
        </w:rPr>
        <w:t>ing</w:t>
      </w:r>
      <w:r>
        <w:rPr>
          <w:rFonts w:hint="eastAsia" w:ascii="Arial" w:hAnsi="Arial" w:cs="Arial"/>
          <w:b/>
          <w:bCs/>
          <w:sz w:val="20"/>
          <w:szCs w:val="20"/>
        </w:rPr>
        <w:t xml:space="preserve"> the successful rate of reception of RRCReconfigurtaion message therefore improve</w:t>
      </w:r>
      <w:r>
        <w:rPr>
          <w:rFonts w:hint="eastAsia" w:ascii="Arial" w:hAnsi="Arial" w:cs="Arial"/>
          <w:b/>
          <w:bCs/>
          <w:sz w:val="20"/>
          <w:szCs w:val="20"/>
          <w:lang w:val="en-US" w:eastAsia="zh-CN"/>
        </w:rPr>
        <w:t>s</w:t>
      </w:r>
      <w:r>
        <w:rPr>
          <w:rFonts w:hint="eastAsia" w:ascii="Arial" w:hAnsi="Arial" w:cs="Arial"/>
          <w:b/>
          <w:bCs/>
          <w:sz w:val="20"/>
          <w:szCs w:val="20"/>
        </w:rPr>
        <w:t xml:space="preserve"> overall HO performance.</w:t>
      </w:r>
    </w:p>
    <w:p>
      <w:pPr>
        <w:rPr>
          <w:rFonts w:ascii="Arial" w:hAnsi="Arial" w:cs="Arial"/>
          <w:sz w:val="20"/>
          <w:szCs w:val="20"/>
        </w:rPr>
      </w:pPr>
      <w:r>
        <w:rPr>
          <w:rFonts w:ascii="Arial" w:hAnsi="Arial" w:cs="Arial"/>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r>
        <w:rPr>
          <w:rFonts w:ascii="Arial" w:hAnsi="Arial" w:cs="Arial"/>
          <w:i/>
          <w:iCs/>
          <w:sz w:val="20"/>
          <w:szCs w:val="20"/>
        </w:rPr>
        <w:t>condRRCReconfig</w:t>
      </w:r>
      <w:r>
        <w:rPr>
          <w:rFonts w:ascii="Arial" w:hAnsi="Arial" w:cs="Arial"/>
          <w:sz w:val="20"/>
          <w:szCs w:val="20"/>
        </w:rPr>
        <w:t>.</w:t>
      </w:r>
    </w:p>
    <w:p>
      <w:pPr>
        <w:jc w:val="left"/>
        <w:rPr>
          <w:rFonts w:ascii="Arial" w:hAnsi="Arial" w:cs="Arial"/>
          <w:b/>
          <w:sz w:val="20"/>
          <w:szCs w:val="20"/>
        </w:rPr>
      </w:pPr>
      <w:r>
        <w:rPr>
          <w:rFonts w:ascii="Arial" w:hAnsi="Arial" w:cs="Arial"/>
          <w:b/>
          <w:sz w:val="20"/>
          <w:szCs w:val="20"/>
        </w:rPr>
        <w:t xml:space="preserve">Proposal </w:t>
      </w:r>
      <w:r>
        <w:rPr>
          <w:rFonts w:hint="eastAsia" w:ascii="Arial" w:hAnsi="Arial" w:cs="Arial"/>
          <w:b/>
          <w:sz w:val="20"/>
          <w:szCs w:val="20"/>
        </w:rPr>
        <w:t>2</w:t>
      </w:r>
      <w:r>
        <w:rPr>
          <w:rFonts w:ascii="Arial" w:hAnsi="Arial" w:cs="Arial"/>
          <w:b/>
          <w:sz w:val="20"/>
          <w:szCs w:val="20"/>
        </w:rPr>
        <w:t xml:space="preserve">: The CHO candidate target cell identity or index can be included in the HO command to trigger conventional handover to this cell thus the detailed configuration would be omitted and UE should apply the </w:t>
      </w:r>
      <w:r>
        <w:rPr>
          <w:rFonts w:ascii="Arial" w:hAnsi="Arial" w:cs="Arial"/>
          <w:b/>
          <w:i/>
          <w:sz w:val="20"/>
          <w:szCs w:val="20"/>
        </w:rPr>
        <w:t>condRRCReconfig</w:t>
      </w:r>
      <w:r>
        <w:rPr>
          <w:rFonts w:ascii="Arial" w:hAnsi="Arial" w:cs="Arial"/>
          <w:b/>
          <w:sz w:val="20"/>
          <w:szCs w:val="20"/>
        </w:rPr>
        <w:t xml:space="preserve"> stored for this cell.</w:t>
      </w:r>
    </w:p>
    <w:p>
      <w:pPr>
        <w:pStyle w:val="68"/>
        <w:widowControl/>
        <w:ind w:firstLine="0" w:firstLineChars="0"/>
        <w:jc w:val="left"/>
        <w:rPr>
          <w:rFonts w:ascii="Arial" w:hAnsi="Arial" w:cs="Arial"/>
          <w:b/>
          <w:sz w:val="20"/>
          <w:szCs w:val="20"/>
        </w:rPr>
      </w:pP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hint="eastAsia" w:ascii="Arial" w:hAnsi="Arial" w:cs="Arial"/>
          <w:bCs/>
          <w:kern w:val="0"/>
          <w:sz w:val="20"/>
          <w:szCs w:val="20"/>
        </w:rPr>
        <w:t xml:space="preserve">observations and </w:t>
      </w:r>
      <w:r>
        <w:rPr>
          <w:rFonts w:ascii="Arial" w:hAnsi="Arial" w:cs="Arial"/>
          <w:bCs/>
          <w:kern w:val="0"/>
          <w:sz w:val="20"/>
          <w:szCs w:val="20"/>
        </w:rPr>
        <w:t xml:space="preserve">proposals are given: </w:t>
      </w:r>
    </w:p>
    <w:p>
      <w:pPr>
        <w:rPr>
          <w:rFonts w:ascii="Arial" w:hAnsi="Arial" w:cs="Arial"/>
          <w:b/>
          <w:bCs/>
          <w:kern w:val="0"/>
          <w:sz w:val="20"/>
          <w:szCs w:val="20"/>
          <w:u w:val="single"/>
        </w:rPr>
      </w:pPr>
      <w:r>
        <w:rPr>
          <w:rFonts w:ascii="Arial" w:hAnsi="Arial" w:cs="Arial"/>
          <w:b/>
          <w:bCs/>
          <w:kern w:val="0"/>
          <w:sz w:val="20"/>
          <w:szCs w:val="20"/>
          <w:u w:val="single"/>
        </w:rPr>
        <w:t>Group based mobility</w:t>
      </w:r>
    </w:p>
    <w:p>
      <w:pPr>
        <w:rPr>
          <w:rFonts w:ascii="Arial" w:hAnsi="Arial" w:cs="Arial"/>
          <w:i/>
          <w:iCs/>
          <w:sz w:val="20"/>
          <w:szCs w:val="20"/>
        </w:rPr>
      </w:pPr>
      <w:r>
        <w:rPr>
          <w:rFonts w:hint="eastAsia" w:ascii="Arial" w:hAnsi="Arial" w:cs="Arial"/>
          <w:i/>
          <w:iCs/>
          <w:sz w:val="20"/>
          <w:szCs w:val="20"/>
        </w:rPr>
        <w:t>Observation 1: Signalling overhead reduction can be considered in measurement report, HO configuration</w:t>
      </w:r>
    </w:p>
    <w:p>
      <w:pPr>
        <w:rPr>
          <w:rFonts w:ascii="Arial" w:hAnsi="Arial" w:cs="Arial"/>
          <w:i/>
          <w:iCs/>
          <w:sz w:val="20"/>
          <w:szCs w:val="20"/>
        </w:rPr>
      </w:pPr>
      <w:r>
        <w:rPr>
          <w:rFonts w:hint="eastAsia" w:ascii="Arial" w:hAnsi="Arial" w:cs="Arial"/>
          <w:i/>
          <w:iCs/>
          <w:sz w:val="20"/>
          <w:szCs w:val="20"/>
        </w:rPr>
        <w:t>Observation 2: Due to long RTT in NTN, UE within certain location range will face similar radio condition, which makes it possible for NW to do group HO decision with any of report received from such UEs, thus help reduce the signalling overhead required for measurement report.</w:t>
      </w:r>
    </w:p>
    <w:p>
      <w:pPr>
        <w:rPr>
          <w:rFonts w:ascii="Arial" w:hAnsi="Arial" w:cs="Arial"/>
          <w:i/>
          <w:iCs/>
          <w:sz w:val="20"/>
          <w:szCs w:val="20"/>
        </w:rPr>
      </w:pPr>
      <w:r>
        <w:rPr>
          <w:rFonts w:hint="eastAsia" w:ascii="Arial" w:hAnsi="Arial" w:cs="Arial"/>
          <w:i/>
          <w:iCs/>
          <w:sz w:val="20"/>
          <w:szCs w:val="20"/>
        </w:rPr>
        <w:t>Observation 3: Group HO UE to another cell could lead to collision in RACH procedure since there might be larger number of UE initiating RACH in the same time.</w:t>
      </w:r>
    </w:p>
    <w:p>
      <w:pPr>
        <w:rPr>
          <w:rFonts w:ascii="Arial" w:hAnsi="Arial" w:cs="Arial"/>
          <w:i/>
          <w:iCs/>
          <w:sz w:val="20"/>
          <w:szCs w:val="20"/>
        </w:rPr>
      </w:pPr>
      <w:r>
        <w:rPr>
          <w:rFonts w:hint="eastAsia" w:ascii="Arial" w:hAnsi="Arial" w:cs="Arial"/>
          <w:i/>
          <w:iCs/>
          <w:sz w:val="20"/>
          <w:szCs w:val="20"/>
        </w:rPr>
        <w:t xml:space="preserve">Observation 4: CFRA resource is needed to reduce RACH collision issue in group HO. </w:t>
      </w:r>
    </w:p>
    <w:p>
      <w:pPr>
        <w:rPr>
          <w:rFonts w:ascii="Arial" w:hAnsi="Arial" w:cs="Arial"/>
          <w:b/>
          <w:bCs/>
          <w:kern w:val="0"/>
          <w:sz w:val="20"/>
          <w:szCs w:val="20"/>
          <w:u w:val="single"/>
        </w:rPr>
      </w:pPr>
      <w:r>
        <w:rPr>
          <w:rFonts w:hint="eastAsia" w:ascii="Arial" w:hAnsi="Arial" w:cs="Arial"/>
          <w:i/>
          <w:iCs/>
          <w:sz w:val="20"/>
          <w:szCs w:val="20"/>
        </w:rPr>
        <w:t>Observation 5: Dedicate HO configuration allows more flexibility of scheduling since NW might only want to move some of some of UEs within the same group considering also load balance in different cells or due to change of trajectories of UEs.</w:t>
      </w:r>
    </w:p>
    <w:p>
      <w:pPr>
        <w:widowControl/>
        <w:jc w:val="left"/>
        <w:rPr>
          <w:rFonts w:ascii="Arial" w:hAnsi="Arial" w:cs="Arial"/>
          <w:b/>
          <w:sz w:val="20"/>
          <w:szCs w:val="20"/>
        </w:rPr>
      </w:pPr>
      <w:r>
        <w:rPr>
          <w:rFonts w:ascii="Arial" w:hAnsi="Arial" w:cs="Arial"/>
          <w:b/>
          <w:sz w:val="20"/>
          <w:szCs w:val="20"/>
        </w:rPr>
        <w:t xml:space="preserve">Proposal </w:t>
      </w:r>
      <w:r>
        <w:rPr>
          <w:rFonts w:hint="eastAsia" w:ascii="Arial" w:hAnsi="Arial" w:cs="Arial"/>
          <w:b/>
          <w:sz w:val="20"/>
          <w:szCs w:val="20"/>
        </w:rPr>
        <w:t>1</w:t>
      </w:r>
      <w:r>
        <w:rPr>
          <w:rFonts w:ascii="Arial" w:hAnsi="Arial" w:cs="Arial"/>
          <w:b/>
          <w:sz w:val="20"/>
          <w:szCs w:val="20"/>
        </w:rPr>
        <w:t>: Group based handover should be supported with the following:</w:t>
      </w:r>
    </w:p>
    <w:p>
      <w:pPr>
        <w:pStyle w:val="68"/>
        <w:widowControl/>
        <w:numPr>
          <w:ilvl w:val="0"/>
          <w:numId w:val="6"/>
        </w:numPr>
        <w:ind w:firstLineChars="0"/>
        <w:jc w:val="left"/>
        <w:rPr>
          <w:rFonts w:ascii="Arial" w:hAnsi="Arial" w:cs="Arial"/>
          <w:b/>
          <w:sz w:val="20"/>
          <w:szCs w:val="20"/>
        </w:rPr>
      </w:pPr>
      <w:r>
        <w:rPr>
          <w:rFonts w:hint="eastAsia" w:ascii="Arial" w:hAnsi="Arial" w:cs="Arial"/>
          <w:b/>
          <w:sz w:val="20"/>
          <w:szCs w:val="20"/>
        </w:rPr>
        <w:t>D</w:t>
      </w:r>
      <w:r>
        <w:rPr>
          <w:rFonts w:ascii="Arial" w:hAnsi="Arial" w:cs="Arial"/>
          <w:b/>
          <w:sz w:val="20"/>
          <w:szCs w:val="20"/>
        </w:rPr>
        <w:t>ivide UE into several groups and assign each UE with a group id.</w:t>
      </w:r>
    </w:p>
    <w:p>
      <w:pPr>
        <w:pStyle w:val="68"/>
        <w:widowControl/>
        <w:numPr>
          <w:ilvl w:val="0"/>
          <w:numId w:val="6"/>
        </w:numPr>
        <w:ind w:firstLineChars="0"/>
        <w:jc w:val="left"/>
        <w:rPr>
          <w:rFonts w:ascii="Arial" w:hAnsi="Arial" w:cs="Arial"/>
          <w:b/>
          <w:sz w:val="20"/>
          <w:szCs w:val="20"/>
        </w:rPr>
      </w:pPr>
      <w:r>
        <w:rPr>
          <w:rFonts w:hint="eastAsia" w:ascii="Arial" w:hAnsi="Arial" w:cs="Arial"/>
          <w:b/>
          <w:sz w:val="20"/>
          <w:szCs w:val="20"/>
        </w:rPr>
        <w:t>U</w:t>
      </w:r>
      <w:r>
        <w:rPr>
          <w:rFonts w:ascii="Arial" w:hAnsi="Arial" w:cs="Arial"/>
          <w:b/>
          <w:sz w:val="20"/>
          <w:szCs w:val="20"/>
        </w:rPr>
        <w:t>E report the group id together with the measurement results in measurement report.</w:t>
      </w:r>
    </w:p>
    <w:p>
      <w:pPr>
        <w:pStyle w:val="68"/>
        <w:widowControl/>
        <w:numPr>
          <w:ilvl w:val="0"/>
          <w:numId w:val="6"/>
        </w:numPr>
        <w:ind w:firstLineChars="0"/>
        <w:jc w:val="left"/>
        <w:rPr>
          <w:rFonts w:ascii="Arial" w:hAnsi="Arial" w:cs="Arial"/>
          <w:b/>
          <w:sz w:val="20"/>
          <w:szCs w:val="20"/>
        </w:rPr>
      </w:pPr>
      <w:r>
        <w:rPr>
          <w:rFonts w:ascii="Arial" w:hAnsi="Arial" w:cs="Arial"/>
          <w:b/>
          <w:sz w:val="20"/>
          <w:szCs w:val="20"/>
        </w:rPr>
        <w:t>Upon reception of measurement report from one or a few of the UEs in this group, network decide to handover all the UEs or some of them in this group and send HO command to each UE.</w:t>
      </w:r>
    </w:p>
    <w:p>
      <w:pPr>
        <w:pStyle w:val="68"/>
        <w:widowControl/>
        <w:ind w:firstLine="0" w:firstLineChars="0"/>
        <w:jc w:val="left"/>
        <w:rPr>
          <w:rFonts w:ascii="Arial" w:hAnsi="Arial" w:cs="Arial"/>
          <w:b/>
          <w:sz w:val="20"/>
          <w:szCs w:val="20"/>
        </w:rPr>
      </w:pPr>
    </w:p>
    <w:p>
      <w:pPr>
        <w:rPr>
          <w:rFonts w:ascii="Arial" w:hAnsi="Arial" w:cs="Arial"/>
          <w:b/>
          <w:bCs/>
          <w:kern w:val="0"/>
          <w:sz w:val="20"/>
          <w:szCs w:val="20"/>
          <w:u w:val="single"/>
        </w:rPr>
      </w:pPr>
      <w:r>
        <w:rPr>
          <w:rFonts w:ascii="Arial" w:hAnsi="Arial" w:cs="Arial"/>
          <w:b/>
          <w:bCs/>
          <w:kern w:val="0"/>
          <w:sz w:val="20"/>
          <w:szCs w:val="20"/>
          <w:u w:val="single"/>
        </w:rPr>
        <w:t>Index based handover command</w:t>
      </w:r>
    </w:p>
    <w:p>
      <w:pPr>
        <w:rPr>
          <w:rFonts w:ascii="Arial" w:hAnsi="Arial" w:cs="Arial"/>
          <w:i/>
          <w:iCs/>
          <w:sz w:val="20"/>
          <w:szCs w:val="20"/>
        </w:rPr>
      </w:pPr>
      <w:r>
        <w:rPr>
          <w:rFonts w:hint="eastAsia" w:ascii="Arial" w:hAnsi="Arial" w:cs="Arial"/>
          <w:i/>
          <w:iCs/>
          <w:sz w:val="20"/>
          <w:szCs w:val="20"/>
        </w:rPr>
        <w:t>Observation 6: NW might handover UE to CHO candidate cells before CHO is triggered due to other purpose, e.g., load balancing.</w:t>
      </w:r>
    </w:p>
    <w:p>
      <w:pPr>
        <w:rPr>
          <w:rFonts w:ascii="Arial" w:hAnsi="Arial" w:cs="Arial"/>
          <w:i/>
          <w:iCs/>
          <w:sz w:val="20"/>
          <w:szCs w:val="20"/>
        </w:rPr>
      </w:pPr>
      <w:r>
        <w:rPr>
          <w:rFonts w:hint="eastAsia" w:ascii="Arial" w:hAnsi="Arial" w:cs="Arial"/>
          <w:i/>
          <w:iCs/>
          <w:sz w:val="20"/>
          <w:szCs w:val="20"/>
        </w:rPr>
        <w:t>Observation 7: When handover UE to one of CHO candidate target cells, the CHO configuration stored in UE can be easily reused therefore only information used to identify CHO candidate cell (e.g., PCI or candidate cell index) is needed, which can help reduce signalling overhead of HO command significantly.</w:t>
      </w:r>
    </w:p>
    <w:p>
      <w:pPr>
        <w:rPr>
          <w:rFonts w:ascii="Arial" w:hAnsi="Arial" w:cs="Arial"/>
          <w:b/>
          <w:bCs/>
          <w:kern w:val="0"/>
          <w:sz w:val="20"/>
          <w:szCs w:val="20"/>
          <w:u w:val="single"/>
        </w:rPr>
      </w:pPr>
      <w:r>
        <w:rPr>
          <w:rFonts w:hint="eastAsia" w:ascii="Arial" w:hAnsi="Arial" w:cs="Arial"/>
          <w:i/>
          <w:iCs/>
          <w:sz w:val="20"/>
          <w:szCs w:val="20"/>
        </w:rPr>
        <w:t>Observation 8: Reduced HO command size also helps improv</w:t>
      </w:r>
      <w:r>
        <w:rPr>
          <w:rFonts w:hint="eastAsia" w:ascii="Arial" w:hAnsi="Arial" w:cs="Arial"/>
          <w:i/>
          <w:iCs/>
          <w:sz w:val="20"/>
          <w:szCs w:val="20"/>
          <w:lang w:val="en-US" w:eastAsia="zh-CN"/>
        </w:rPr>
        <w:t>ing</w:t>
      </w:r>
      <w:bookmarkStart w:id="5" w:name="_GoBack"/>
      <w:bookmarkEnd w:id="5"/>
      <w:r>
        <w:rPr>
          <w:rFonts w:hint="eastAsia" w:ascii="Arial" w:hAnsi="Arial" w:cs="Arial"/>
          <w:i/>
          <w:iCs/>
          <w:sz w:val="20"/>
          <w:szCs w:val="20"/>
        </w:rPr>
        <w:t xml:space="preserve"> the successful rate of reception of RRCReconfigurtaion message therefore improve</w:t>
      </w:r>
      <w:r>
        <w:rPr>
          <w:rFonts w:hint="eastAsia" w:ascii="Arial" w:hAnsi="Arial" w:cs="Arial"/>
          <w:i/>
          <w:iCs/>
          <w:sz w:val="20"/>
          <w:szCs w:val="20"/>
          <w:lang w:val="en-US" w:eastAsia="zh-CN"/>
        </w:rPr>
        <w:t>s</w:t>
      </w:r>
      <w:r>
        <w:rPr>
          <w:rFonts w:hint="eastAsia" w:ascii="Arial" w:hAnsi="Arial" w:cs="Arial"/>
          <w:i/>
          <w:iCs/>
          <w:sz w:val="20"/>
          <w:szCs w:val="20"/>
        </w:rPr>
        <w:t xml:space="preserve"> overall HO performance.</w:t>
      </w:r>
    </w:p>
    <w:p>
      <w:pPr>
        <w:jc w:val="left"/>
        <w:rPr>
          <w:rFonts w:ascii="Arial" w:hAnsi="Arial" w:cs="Arial"/>
          <w:b/>
          <w:sz w:val="20"/>
          <w:szCs w:val="20"/>
        </w:rPr>
      </w:pPr>
      <w:r>
        <w:rPr>
          <w:rFonts w:ascii="Arial" w:hAnsi="Arial" w:cs="Arial"/>
          <w:b/>
          <w:sz w:val="20"/>
          <w:szCs w:val="20"/>
        </w:rPr>
        <w:t xml:space="preserve">Proposal </w:t>
      </w:r>
      <w:r>
        <w:rPr>
          <w:rFonts w:hint="eastAsia" w:ascii="Arial" w:hAnsi="Arial" w:cs="Arial"/>
          <w:b/>
          <w:sz w:val="20"/>
          <w:szCs w:val="20"/>
        </w:rPr>
        <w:t>2</w:t>
      </w:r>
      <w:r>
        <w:rPr>
          <w:rFonts w:ascii="Arial" w:hAnsi="Arial" w:cs="Arial"/>
          <w:b/>
          <w:sz w:val="20"/>
          <w:szCs w:val="20"/>
        </w:rPr>
        <w:t xml:space="preserve">: The CHO candidate target cell identity or index can be included in the HO command to trigger conventional handover to this cell thus the detailed configuration would be omitted and UE should apply the </w:t>
      </w:r>
      <w:r>
        <w:rPr>
          <w:rFonts w:ascii="Arial" w:hAnsi="Arial" w:cs="Arial"/>
          <w:b/>
          <w:i/>
          <w:sz w:val="20"/>
          <w:szCs w:val="20"/>
        </w:rPr>
        <w:t>condRRCReconfig</w:t>
      </w:r>
      <w:r>
        <w:rPr>
          <w:rFonts w:ascii="Arial" w:hAnsi="Arial" w:cs="Arial"/>
          <w:b/>
          <w:sz w:val="20"/>
          <w:szCs w:val="20"/>
        </w:rPr>
        <w:t xml:space="preserve"> stored for this cell.</w:t>
      </w:r>
    </w:p>
    <w:p>
      <w:pPr>
        <w:pStyle w:val="68"/>
        <w:widowControl/>
        <w:ind w:firstLine="0" w:firstLineChars="0"/>
        <w:jc w:val="left"/>
        <w:rPr>
          <w:rFonts w:ascii="Arial" w:hAnsi="Arial" w:cs="Arial"/>
          <w:b/>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rPr>
          <w:rFonts w:ascii="Arial" w:hAnsi="Arial" w:cs="Arial"/>
          <w:bCs/>
          <w:kern w:val="0"/>
          <w:sz w:val="20"/>
          <w:szCs w:val="20"/>
        </w:rPr>
      </w:pPr>
      <w:r>
        <w:rPr>
          <w:rFonts w:ascii="Arial" w:hAnsi="Arial" w:cs="Arial"/>
          <w:bCs/>
          <w:kern w:val="0"/>
          <w:sz w:val="20"/>
          <w:szCs w:val="20"/>
        </w:rPr>
        <w:t xml:space="preserve">[1] </w:t>
      </w:r>
      <w:bookmarkStart w:id="4" w:name="OLE_LINK1"/>
      <w:r>
        <w:rPr>
          <w:rFonts w:ascii="Arial" w:hAnsi="Arial" w:cs="Arial"/>
          <w:bCs/>
          <w:kern w:val="0"/>
          <w:sz w:val="20"/>
          <w:szCs w:val="20"/>
        </w:rPr>
        <w:t>R2-2210801   Report from Break-Out Session on NTN, IoT NTN, RedCap and CE            Vice Chairman (ZTE)   Report</w:t>
      </w:r>
      <w:bookmarkEnd w:id="4"/>
    </w:p>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016704"/>
    <w:multiLevelType w:val="singleLevel"/>
    <w:tmpl w:val="A8016704"/>
    <w:lvl w:ilvl="0" w:tentative="0">
      <w:start w:val="1"/>
      <w:numFmt w:val="decimal"/>
      <w:lvlText w:val="%1."/>
      <w:lvlJc w:val="left"/>
      <w:pPr>
        <w:ind w:left="425" w:hanging="425"/>
      </w:pPr>
      <w:rPr>
        <w:rFonts w:hint="default"/>
      </w:rPr>
    </w:lvl>
  </w:abstractNum>
  <w:abstractNum w:abstractNumId="1">
    <w:nsid w:val="C3E8D6F1"/>
    <w:multiLevelType w:val="singleLevel"/>
    <w:tmpl w:val="C3E8D6F1"/>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3523121"/>
    <w:multiLevelType w:val="multilevel"/>
    <w:tmpl w:val="53523121"/>
    <w:lvl w:ilvl="0" w:tentative="0">
      <w:start w:val="2"/>
      <w:numFmt w:val="bullet"/>
      <w:lvlText w:val="-"/>
      <w:lvlJc w:val="left"/>
      <w:pPr>
        <w:ind w:left="360" w:hanging="360"/>
      </w:pPr>
      <w:rPr>
        <w:rFonts w:hint="default" w:ascii="Arial" w:hAnsi="Arial" w:cs="Arial" w:eastAsiaTheme="minorEastAsia"/>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502097B"/>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D21B16"/>
    <w:rsid w:val="24EB0386"/>
    <w:rsid w:val="24EE205A"/>
    <w:rsid w:val="24FE54BC"/>
    <w:rsid w:val="25005E1F"/>
    <w:rsid w:val="2502385F"/>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16029F"/>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4C6F16"/>
    <w:rsid w:val="346C064E"/>
    <w:rsid w:val="346C77B6"/>
    <w:rsid w:val="34717DC6"/>
    <w:rsid w:val="347C176C"/>
    <w:rsid w:val="3487701B"/>
    <w:rsid w:val="349738A7"/>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2B6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6946"/>
    <w:rsid w:val="5C0D0B5B"/>
    <w:rsid w:val="5C1B653E"/>
    <w:rsid w:val="5C1F1314"/>
    <w:rsid w:val="5C213896"/>
    <w:rsid w:val="5C244D0A"/>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B63CA1"/>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48645-FD4D-4884-AB22-F1CD3AD58FA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1424</Words>
  <Characters>8119</Characters>
  <Lines>67</Lines>
  <Paragraphs>19</Paragraphs>
  <TotalTime>3</TotalTime>
  <ScaleCrop>false</ScaleCrop>
  <LinksUpToDate>false</LinksUpToDate>
  <CharactersWithSpaces>9524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2022-11-03T12:00:00Z</dcterms:created>
  <dc:creator>10033860</dc:creator>
  <cp:lastModifiedBy>ZTE(Zhihong)</cp:lastModifiedBy>
  <cp:lastPrinted>2113-01-01T00:00:00Z</cp:lastPrinted>
  <dcterms:modified xsi:type="dcterms:W3CDTF">2022-11-04T05:07:58Z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